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bookmarkStart w:colFirst="0" w:colLast="0" w:name="_heading=h.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………………...…………………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Załącznik nr 4 Oświadczenie Wykonawcy dotyczące przesłanek wykluczenia</w:t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Tahoma" w:cs="Tahoma" w:eastAsia="Tahoma" w:hAnsi="Tahoma"/>
          <w:i w:val="1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Zamówienie realizowane jest na potrzeby złożenia wniosku o dofinansowanie do projektu grantowego „Bon na cyfryzację”, Fundusze Europejskie dla Podlaskiego 2021-2027, Priorytet I. Badania i innowacje, Działanie 1.2 Rozwój przez cyfryzację, 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Typ: Wdrażanie technologii cyfrowych w MŚP.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jc w:val="center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110"/>
        </w:tabs>
        <w:spacing w:after="0" w:line="240" w:lineRule="auto"/>
        <w:ind w:left="0" w:hanging="2"/>
        <w:rPr>
          <w:rFonts w:ascii="Tahoma" w:cs="Tahoma" w:eastAsia="Tahoma" w:hAnsi="Tahom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110"/>
        </w:tabs>
        <w:spacing w:after="0" w:line="24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3znysh7" w:id="2"/>
      <w:bookmarkEnd w:id="2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Zapytanie ofertowe  nr 2/2024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6"/>
          <w:szCs w:val="16"/>
        </w:rPr>
      </w:pPr>
      <w:bookmarkStart w:colFirst="0" w:colLast="0" w:name="_heading=h.1t4swcfp2h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sz w:val="16"/>
          <w:szCs w:val="16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rtl w:val="0"/>
        </w:rPr>
        <w:t xml:space="preserve">OŚWIADCZENIA WYKONAWCY DOTYCZĄCE PRZESŁANEK WYKLUCZENIA Z ART. 5K ROZPORZĄDZENIA 833/2014 ORAZ ART. 7 UST. 1 USTAWY O SZCZEGÓLNYCH ROZWIĄZANIACH W ZAKRESIE PRZECIWDZIAŁANIA WSPIERANIU AGRESJI NA UKRAINĘ ORAZ SŁUŻĄCYCH OCHRONIE BEZPIECZEŃSTWA NARODOWEGO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20"/>
          <w:szCs w:val="20"/>
        </w:rPr>
      </w:pPr>
      <w:bookmarkStart w:colFirst="0" w:colLast="0" w:name="_heading=h.9cznswathq5v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v1o1t2ub6ivf" w:id="6"/>
      <w:bookmarkEnd w:id="6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0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ddsjkxuux2hp" w:id="7"/>
      <w:bookmarkEnd w:id="7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835)</w:t>
      </w:r>
      <w:r w:rsidDel="00000000" w:rsidR="00000000" w:rsidRPr="00000000">
        <w:rPr>
          <w:rFonts w:ascii="Tahoma" w:cs="Tahoma" w:eastAsia="Tahoma" w:hAnsi="Tahoma"/>
          <w:sz w:val="18"/>
          <w:szCs w:val="18"/>
          <w:vertAlign w:val="superscript"/>
        </w:rPr>
        <w:footnoteReference w:customMarkFollows="0" w:id="1"/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fmmyfcl5am2z" w:id="8"/>
      <w:bookmarkEnd w:id="8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20"/>
          <w:szCs w:val="20"/>
        </w:rPr>
      </w:pPr>
      <w:bookmarkStart w:colFirst="0" w:colLast="0" w:name="_heading=h.aawcwmusyrap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sz w:val="18"/>
          <w:szCs w:val="18"/>
        </w:rPr>
      </w:pPr>
      <w:bookmarkStart w:colFirst="0" w:colLast="0" w:name="_heading=h.ezqzeigdyg6d" w:id="10"/>
      <w:bookmarkEnd w:id="10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…………………………………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rPr>
          <w:rFonts w:ascii="Tahoma" w:cs="Tahoma" w:eastAsia="Tahoma" w:hAnsi="Tahoma"/>
          <w:color w:val="000000"/>
          <w:sz w:val="18"/>
          <w:szCs w:val="18"/>
        </w:rPr>
      </w:pPr>
      <w:bookmarkStart w:colFirst="0" w:colLast="0" w:name="_heading=h.bpuifamoeea3" w:id="11"/>
      <w:bookmarkEnd w:id="11"/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Data, podpis i pieczęć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096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leader="none" w:pos="4536"/>
        <w:tab w:val="right" w:leader="none" w:pos="9356"/>
      </w:tabs>
      <w:spacing w:after="0" w:line="240" w:lineRule="auto"/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6">
      <w:pPr>
        <w:spacing w:after="0" w:line="240" w:lineRule="auto"/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 Zgodnie z treścią art. 5k ust. 1 rozporządzenia 833/2014 w brzmieniu nadanym rozporządzeniem 2022/576 zakazuje się udzielania lub dalszego wykonywania wszelkich zamówień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1"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udziału w zapytaniu wyklucza się: 1) wykonawcę wymienionego w wykazach określonych w rozporządzeniu 765/2006 i rozporządzeniu 269/2014 albo wpisanego na listę na podstawie decyzji w sprawie wpisu na listę rozstrzygającej o zastosowaniu środka, o którym mowa w art. 1 pkt 3 ustawy; 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40" w:lineRule="auto"/>
      <w:ind w:right="-257"/>
      <w:rPr>
        <w:rFonts w:ascii="Tahoma" w:cs="Tahoma" w:eastAsia="Tahoma" w:hAnsi="Tahoma"/>
        <w:sz w:val="15"/>
        <w:szCs w:val="15"/>
        <w:highlight w:val="yellow"/>
      </w:rPr>
    </w:pP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Wykonanie aplikacji do automatycznego wspierania nauczycieli - AUTOMATED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536"/>
        <w:tab w:val="right" w:leader="none" w:pos="9072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qFRq+k094lFJroqwhxwvO59CA==">CgMxLjAyCWguMWZvYjl0ZTIJaC4zMGowemxsMgloLjN6bnlzaDcyDWguMXQ0c3djZnAyaHcyCGguZ2pkZ3hzMg5oLjljem5zd2F0aHE1djIOaC52MW8xdDJ1YjZpdmYyDmguZGRzamt4dXV4MmhwMg5oLmZtbXlmY2w1YW0yejIOaC5hYXdjd211c3lyYXAyDmguZXpxemVpZ2R5ZzZkMg5oLmJwdWlmYW1vZWVhMzgAciExOHVjbmpnS3RDeFFudG03QnpZbUJ5TFRreUgxd1dBa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2024-03-14T08:17:00Z</dcterms:created>
  <dc:creator>Ewelina Użyńska</dc:creator>
</cp:coreProperties>
</file>