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4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„Bon na cyfryzację”, Fundusze Europejskie dla Podlaskiego 2021-2027, Priorytet I. Badania i innowacje, Działanie 1.2 Rozwój przez cyfryzację, 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Typ: Wdrażanie technologii cyfrowych w MŚP.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3znysh7" w:id="2"/>
      <w:bookmarkEnd w:id="2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2/2024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8"/>
      <w:bookmarkEnd w:id="8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1"/>
      <w:bookmarkEnd w:id="11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096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INFOTECH sp. z o.o.</w:t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5X8gqLhM28AUab59jYvkRlGHg==">CgMxLjAyCWguMWZvYjl0ZTIJaC4zMGowemxsMgloLjN6bnlzaDcyDWguMXQ0c3djZnAyaHcyCGguZ2pkZ3hzMg5oLjljem5zd2F0aHE1djIOaC52MW8xdDJ1YjZpdmYyDmguZGRzamt4dXV4MmhwMg5oLmZtbXlmY2w1YW0yejIOaC5hYXdjd211c3lyYXAyDmguZXpxemVpZ2R5ZzZkMg5oLmJwdWlmYW1vZWVhMzgAciExMXFkM0w3eFpSZFVMbVJ5R0NBMXNfUlh3V014R1VUT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2024-03-14T08:17:00Z</dcterms:created>
  <dc:creator>Ewelina Użyńska</dc:creator>
</cp:coreProperties>
</file>